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5A" w:rsidRPr="00A95D8C" w:rsidRDefault="009E575A" w:rsidP="009E575A">
      <w:pPr>
        <w:spacing w:line="360" w:lineRule="auto"/>
        <w:ind w:firstLine="720"/>
        <w:jc w:val="both"/>
        <w:rPr>
          <w:b/>
          <w:sz w:val="28"/>
          <w:szCs w:val="28"/>
        </w:rPr>
      </w:pPr>
      <w:bookmarkStart w:id="0" w:name="_GoBack"/>
      <w:bookmarkEnd w:id="0"/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>- триггер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триггером называется триггер с одним информационным входом, работающий так, что сигнал на выходе после переключения равен сигналу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до переключения, т. е. </w:t>
      </w:r>
      <w:r w:rsidRPr="00A95D8C">
        <w:rPr>
          <w:position w:val="-12"/>
          <w:sz w:val="28"/>
          <w:szCs w:val="28"/>
        </w:rPr>
        <w:object w:dxaOrig="12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5pt;height:21.5pt" o:ole="">
            <v:imagedata r:id="rId4" o:title=""/>
          </v:shape>
          <o:OLEObject Type="Embed" ProgID="Equation.3" ShapeID="_x0000_i1025" DrawAspect="Content" ObjectID="_1662150108" r:id="rId5"/>
        </w:object>
      </w:r>
      <w:r w:rsidRPr="00A95D8C">
        <w:rPr>
          <w:sz w:val="28"/>
          <w:szCs w:val="28"/>
        </w:rPr>
        <w:t xml:space="preserve">. Основное назначение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триггеров- задержка сигнала, поданного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Он имеет информационный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(вход данных) и вход синхронизации С. Вход синхронизации С может быть статическим (потенциальным) и динамическим. У триггеров со статическим входом </w:t>
      </w:r>
      <w:proofErr w:type="gramStart"/>
      <w:r w:rsidRPr="00A95D8C">
        <w:rPr>
          <w:sz w:val="28"/>
          <w:szCs w:val="28"/>
        </w:rPr>
        <w:t>С информация</w:t>
      </w:r>
      <w:proofErr w:type="gramEnd"/>
      <w:r w:rsidRPr="00A95D8C">
        <w:rPr>
          <w:sz w:val="28"/>
          <w:szCs w:val="28"/>
        </w:rPr>
        <w:t xml:space="preserve"> записывается в течение времени, при котором уровень сигнала С=1. В триггерах с динамическим входом </w:t>
      </w:r>
      <w:proofErr w:type="gramStart"/>
      <w:r w:rsidRPr="00A95D8C">
        <w:rPr>
          <w:sz w:val="28"/>
          <w:szCs w:val="28"/>
        </w:rPr>
        <w:t>С информация</w:t>
      </w:r>
      <w:proofErr w:type="gramEnd"/>
      <w:r w:rsidRPr="00A95D8C">
        <w:rPr>
          <w:sz w:val="28"/>
          <w:szCs w:val="28"/>
        </w:rPr>
        <w:t xml:space="preserve"> записывается только в течение перепада напряжения на входе С. Динамический вход изображают на схемах треугольником. Если вершина треугольника обращена в сторону микросхемы (прямой динамический вход), то триггер срабатывает по фронту входного импульса, если от нее (инверсный динамический вход) – по срезу импульса. В таком триггере информация на выходе может быть задержана на один такт по отношению к входной информации.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триггеры могут быть построены по различным схемам. На рис.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 xml:space="preserve">показана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на элементах </w:t>
      </w:r>
      <w:proofErr w:type="gramStart"/>
      <w:r w:rsidRPr="00A95D8C">
        <w:rPr>
          <w:sz w:val="28"/>
          <w:szCs w:val="28"/>
        </w:rPr>
        <w:t>И- НЕ</w:t>
      </w:r>
      <w:proofErr w:type="gramEnd"/>
      <w:r w:rsidRPr="00A95D8C">
        <w:rPr>
          <w:sz w:val="28"/>
          <w:szCs w:val="28"/>
        </w:rPr>
        <w:t xml:space="preserve"> и его условное обозначение. Триггер имеет прямые статические входы (управляющий сигнал- уровень логической единицы).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1 и </w:t>
      </w:r>
      <w:r w:rsidRPr="00A95D8C">
        <w:rPr>
          <w:sz w:val="28"/>
          <w:szCs w:val="28"/>
          <w:lang w:val="en-US"/>
        </w:rPr>
        <w:t>D</w:t>
      </w:r>
      <w:proofErr w:type="gramStart"/>
      <w:r w:rsidRPr="00A95D8C">
        <w:rPr>
          <w:sz w:val="28"/>
          <w:szCs w:val="28"/>
        </w:rPr>
        <w:t>2  выполнена</w:t>
      </w:r>
      <w:proofErr w:type="gramEnd"/>
      <w:r w:rsidRPr="00A95D8C">
        <w:rPr>
          <w:sz w:val="28"/>
          <w:szCs w:val="28"/>
        </w:rPr>
        <w:t xml:space="preserve"> схема управления, а на элементах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и 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4 асинхронный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5257800" cy="2514600"/>
            <wp:effectExtent l="0" t="0" r="0" b="0"/>
            <wp:docPr id="3" name="Рисунок 3" descr="Д-триг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-тригг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3.1 - Схема одноступенчатого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на элементах </w:t>
      </w:r>
      <w:proofErr w:type="gramStart"/>
      <w:r w:rsidRPr="00A95D8C">
        <w:rPr>
          <w:sz w:val="28"/>
          <w:szCs w:val="28"/>
        </w:rPr>
        <w:t>И- НЕ</w:t>
      </w:r>
      <w:proofErr w:type="gramEnd"/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уровень сигнала на входе С=0, то состояние триггера устойчиво и не зависит от уровня сигнала на информационном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При этом входы асинхронного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 триггера с инверсными входами (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3 и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4) поступают пассивные уровни </w:t>
      </w:r>
      <w:r w:rsidRPr="00A95D8C">
        <w:rPr>
          <w:position w:val="-6"/>
          <w:sz w:val="28"/>
          <w:szCs w:val="28"/>
        </w:rPr>
        <w:object w:dxaOrig="1080" w:dyaOrig="380">
          <v:shape id="_x0000_i1026" type="#_x0000_t75" style="width:54.25pt;height:18.8pt" o:ole="">
            <v:imagedata r:id="rId7" o:title=""/>
          </v:shape>
          <o:OLEObject Type="Embed" ProgID="Equation.3" ShapeID="_x0000_i1026" DrawAspect="Content" ObjectID="_1662150109" r:id="rId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на вход синхронизации уровня С=1 информация на прямом выходе повторять информацию, подаваемую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Следовательно, при С=0 </w:t>
      </w:r>
      <w:r w:rsidRPr="00A95D8C">
        <w:rPr>
          <w:position w:val="-12"/>
          <w:sz w:val="28"/>
          <w:szCs w:val="28"/>
        </w:rPr>
        <w:object w:dxaOrig="1260" w:dyaOrig="440">
          <v:shape id="_x0000_i1027" type="#_x0000_t75" style="width:62.85pt;height:21.5pt" o:ole="">
            <v:imagedata r:id="rId9" o:title=""/>
          </v:shape>
          <o:OLEObject Type="Embed" ProgID="Equation.3" ShapeID="_x0000_i1027" DrawAspect="Content" ObjectID="_1662150110" r:id="rId10"/>
        </w:object>
      </w:r>
      <w:r w:rsidRPr="00A95D8C">
        <w:rPr>
          <w:sz w:val="28"/>
          <w:szCs w:val="28"/>
        </w:rPr>
        <w:t xml:space="preserve">, а при С=1 </w:t>
      </w:r>
      <w:r w:rsidRPr="00A95D8C">
        <w:rPr>
          <w:position w:val="-12"/>
          <w:sz w:val="28"/>
          <w:szCs w:val="28"/>
        </w:rPr>
        <w:object w:dxaOrig="1260" w:dyaOrig="440">
          <v:shape id="_x0000_i1028" type="#_x0000_t75" style="width:62.85pt;height:21.5pt" o:ole="">
            <v:imagedata r:id="rId11" o:title=""/>
          </v:shape>
          <o:OLEObject Type="Embed" ProgID="Equation.3" ShapeID="_x0000_i1028" DrawAspect="Content" ObjectID="_1662150111" r:id="rId12"/>
        </w:object>
      </w:r>
      <w:r w:rsidRPr="00A95D8C">
        <w:rPr>
          <w:sz w:val="28"/>
          <w:szCs w:val="28"/>
        </w:rPr>
        <w:t xml:space="preserve">, временные диаграммы, поясняющие работу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триггера, приведены на рис. 3.1, </w:t>
      </w:r>
      <w:r w:rsidRPr="00A95D8C">
        <w:rPr>
          <w:i/>
          <w:sz w:val="28"/>
          <w:szCs w:val="28"/>
        </w:rPr>
        <w:t>б.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переходов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триггера в полной и сокращенной форме представлена в таблице 3.1, </w:t>
      </w:r>
      <w:r w:rsidRPr="00A95D8C">
        <w:rPr>
          <w:i/>
          <w:sz w:val="28"/>
          <w:szCs w:val="28"/>
        </w:rPr>
        <w:t xml:space="preserve">а </w:t>
      </w:r>
      <w:proofErr w:type="gramStart"/>
      <w:r w:rsidRPr="00A95D8C">
        <w:rPr>
          <w:sz w:val="28"/>
          <w:szCs w:val="28"/>
        </w:rPr>
        <w:t xml:space="preserve">и </w:t>
      </w:r>
      <w:r w:rsidRPr="00A95D8C">
        <w:rPr>
          <w:i/>
          <w:sz w:val="28"/>
          <w:szCs w:val="28"/>
        </w:rPr>
        <w:t xml:space="preserve"> б</w:t>
      </w:r>
      <w:proofErr w:type="gramEnd"/>
      <w:r w:rsidRPr="00A95D8C">
        <w:rPr>
          <w:i/>
          <w:sz w:val="28"/>
          <w:szCs w:val="28"/>
        </w:rPr>
        <w:t xml:space="preserve"> </w:t>
      </w:r>
      <w:r w:rsidRPr="00A95D8C">
        <w:rPr>
          <w:sz w:val="28"/>
          <w:szCs w:val="28"/>
        </w:rPr>
        <w:t>соответственно.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отсутствие тактирующих импульсов триггер находится в режиме хранения ранее полученной информации. С приходом импульса синхронизации происходит запись информации, установленной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. Поскольку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 триггеров без синхронизации не существует, то первые четыре строки таблицы 3.1, </w:t>
      </w:r>
      <w:r w:rsidRPr="00A95D8C">
        <w:rPr>
          <w:i/>
          <w:sz w:val="28"/>
          <w:szCs w:val="28"/>
        </w:rPr>
        <w:t xml:space="preserve">а </w:t>
      </w:r>
      <w:r w:rsidRPr="00A95D8C">
        <w:rPr>
          <w:sz w:val="28"/>
          <w:szCs w:val="28"/>
        </w:rPr>
        <w:t xml:space="preserve">можно исключить, в результате получим сокращенную таблицу состояний (табл. 3.1,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</w:t>
      </w:r>
    </w:p>
    <w:p w:rsidR="009E575A" w:rsidRPr="009E575A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Таблица 3.1 – 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триггера: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полная таблица (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>); сокращенная (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368"/>
        <w:gridCol w:w="1260"/>
        <w:gridCol w:w="1260"/>
        <w:gridCol w:w="1260"/>
      </w:tblGrid>
      <w:tr w:rsidR="009E575A" w:rsidRPr="00A95D8C" w:rsidTr="0097468D">
        <w:tc>
          <w:tcPr>
            <w:tcW w:w="3888" w:type="dxa"/>
            <w:gridSpan w:val="3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  <w:r w:rsidRPr="00A95D8C">
              <w:rPr>
                <w:sz w:val="28"/>
                <w:szCs w:val="28"/>
              </w:rPr>
              <w:t>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 </w:t>
            </w:r>
            <w:r w:rsidRPr="00A95D8C">
              <w:rPr>
                <w:position w:val="-6"/>
                <w:sz w:val="28"/>
                <w:szCs w:val="28"/>
              </w:rPr>
              <w:object w:dxaOrig="400" w:dyaOrig="380">
                <v:shape id="_x0000_i1029" type="#_x0000_t75" style="width:20.4pt;height:18.8pt" o:ole="">
                  <v:imagedata r:id="rId13" o:title=""/>
                </v:shape>
                <o:OLEObject Type="Embed" ProgID="Equation.3" ShapeID="_x0000_i1029" DrawAspect="Content" ObjectID="_1662150112" r:id="rId14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4"/>
                <w:sz w:val="28"/>
                <w:szCs w:val="28"/>
              </w:rPr>
              <w:object w:dxaOrig="420" w:dyaOrig="360">
                <v:shape id="_x0000_i1030" type="#_x0000_t75" style="width:20.95pt;height:18.25pt" o:ole="">
                  <v:imagedata r:id="rId15" o:title=""/>
                </v:shape>
                <o:OLEObject Type="Embed" ProgID="Equation.3" ShapeID="_x0000_i1030" DrawAspect="Content" ObjectID="_1662150113" r:id="rId16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31" type="#_x0000_t75" style="width:20.4pt;height:21.5pt" o:ole="">
                  <v:imagedata r:id="rId17" o:title=""/>
                </v:shape>
                <o:OLEObject Type="Embed" ProgID="Equation.3" ShapeID="_x0000_i1031" DrawAspect="Content" ObjectID="_1662150114" r:id="rId18"/>
              </w:objec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2" type="#_x0000_t75" style="width:30.1pt;height:21.5pt" o:ole="">
                  <v:imagedata r:id="rId19" o:title=""/>
                </v:shape>
                <o:OLEObject Type="Embed" ProgID="Equation.3" ShapeID="_x0000_i1032" DrawAspect="Content" ObjectID="_1662150115" r:id="rId20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page" w:tblpX="7174" w:tblpY="73"/>
        <w:tblW w:w="0" w:type="auto"/>
        <w:tblLook w:val="01E0" w:firstRow="1" w:lastRow="1" w:firstColumn="1" w:lastColumn="1" w:noHBand="0" w:noVBand="0"/>
      </w:tblPr>
      <w:tblGrid>
        <w:gridCol w:w="1368"/>
        <w:gridCol w:w="1620"/>
      </w:tblGrid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 xml:space="preserve">Такт </w:t>
            </w:r>
            <w:r w:rsidRPr="00A95D8C">
              <w:rPr>
                <w:sz w:val="28"/>
                <w:szCs w:val="28"/>
                <w:lang w:val="en-US"/>
              </w:rPr>
              <w:t>n+1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4"/>
                <w:sz w:val="28"/>
                <w:szCs w:val="28"/>
              </w:rPr>
              <w:object w:dxaOrig="420" w:dyaOrig="360">
                <v:shape id="_x0000_i1033" type="#_x0000_t75" style="width:20.95pt;height:18.25pt" o:ole="">
                  <v:imagedata r:id="rId15" o:title=""/>
                </v:shape>
                <o:OLEObject Type="Embed" ProgID="Equation.3" ShapeID="_x0000_i1033" DrawAspect="Content" ObjectID="_1662150116" r:id="rId21"/>
              </w:objec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4" type="#_x0000_t75" style="width:30.1pt;height:21.5pt" o:ole="">
                  <v:imagedata r:id="rId19" o:title=""/>
                </v:shape>
                <o:OLEObject Type="Embed" ProgID="Equation.3" ShapeID="_x0000_i1034" DrawAspect="Content" ObjectID="_1662150117" r:id="rId22"/>
              </w:objec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9E575A" w:rsidRPr="00A95D8C" w:rsidTr="0097468D">
        <w:tc>
          <w:tcPr>
            <w:tcW w:w="1368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9E575A" w:rsidRPr="00A95D8C" w:rsidRDefault="009E575A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</w:tbl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      </w:t>
      </w:r>
      <w:r w:rsidRPr="00A95D8C">
        <w:rPr>
          <w:i/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            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Default="009E575A" w:rsidP="009E575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95D8C">
        <w:rPr>
          <w:i/>
          <w:sz w:val="28"/>
          <w:szCs w:val="28"/>
        </w:rPr>
        <w:t xml:space="preserve"> а)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Закон функционирования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 триггера запишется в виде: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position w:val="-12"/>
          <w:sz w:val="28"/>
          <w:szCs w:val="28"/>
        </w:rPr>
        <w:object w:dxaOrig="200" w:dyaOrig="380">
          <v:shape id="_x0000_i1035" type="#_x0000_t75" style="width:9.65pt;height:18.8pt" o:ole="">
            <v:imagedata r:id="rId23" o:title=""/>
          </v:shape>
          <o:OLEObject Type="Embed" ProgID="Equation.3" ShapeID="_x0000_i1035" DrawAspect="Content" ObjectID="_1662150118" r:id="rId24"/>
        </w:object>
      </w:r>
      <w:r w:rsidRPr="00A95D8C">
        <w:rPr>
          <w:position w:val="-12"/>
          <w:sz w:val="28"/>
          <w:szCs w:val="28"/>
        </w:rPr>
        <w:object w:dxaOrig="1620" w:dyaOrig="440">
          <v:shape id="_x0000_i1036" type="#_x0000_t75" style="width:81.15pt;height:21.5pt" o:ole="">
            <v:imagedata r:id="rId25" o:title=""/>
          </v:shape>
          <o:OLEObject Type="Embed" ProgID="Equation.3" ShapeID="_x0000_i1036" DrawAspect="Content" ObjectID="_1662150119" r:id="rId26"/>
        </w:object>
      </w:r>
    </w:p>
    <w:p w:rsidR="009E575A" w:rsidRPr="00A95D8C" w:rsidRDefault="009E575A" w:rsidP="009E575A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или в сокращенной форме: </w:t>
      </w:r>
      <w:r w:rsidRPr="00A95D8C">
        <w:rPr>
          <w:position w:val="-12"/>
          <w:sz w:val="28"/>
          <w:szCs w:val="28"/>
        </w:rPr>
        <w:object w:dxaOrig="1260" w:dyaOrig="440">
          <v:shape id="_x0000_i1037" type="#_x0000_t75" style="width:62.85pt;height:21.5pt" o:ole="">
            <v:imagedata r:id="rId27" o:title=""/>
          </v:shape>
          <o:OLEObject Type="Embed" ProgID="Equation.3" ShapeID="_x0000_i1037" DrawAspect="Content" ObjectID="_1662150120" r:id="rId28"/>
        </w:object>
      </w:r>
      <w:r w:rsidRPr="00A95D8C">
        <w:rPr>
          <w:sz w:val="28"/>
          <w:szCs w:val="28"/>
        </w:rPr>
        <w:t>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Поскольку триггер задерживает на один такт информацию, поданную на вход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предыдущем такте, то он получил название триггер «задержки». 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Недостатком статического способа синхронизации является то, что запись информации происходит в течение длительности импульса синхронизации и любое изменение сигнала на входе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в это время приводит к изменению выходного сигнала.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</w:t>
      </w:r>
    </w:p>
    <w:p w:rsidR="009E575A" w:rsidRPr="00A95D8C" w:rsidRDefault="009E575A" w:rsidP="009E575A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lastRenderedPageBreak/>
        <w:t xml:space="preserve">Программная реализация </w:t>
      </w:r>
      <w:r w:rsidRPr="00A95D8C">
        <w:rPr>
          <w:b/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-триггера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триггера, только асинхронный триггер нужно заменить </w:t>
      </w:r>
      <w:r w:rsidRPr="00A95D8C">
        <w:rPr>
          <w:sz w:val="28"/>
          <w:szCs w:val="28"/>
          <w:lang w:val="en-US"/>
        </w:rPr>
        <w:t>D</w:t>
      </w:r>
      <w:r w:rsidRPr="00A95D8C">
        <w:rPr>
          <w:b/>
          <w:sz w:val="28"/>
          <w:szCs w:val="28"/>
        </w:rPr>
        <w:t xml:space="preserve"> – </w:t>
      </w:r>
      <w:r w:rsidRPr="00A95D8C">
        <w:rPr>
          <w:sz w:val="28"/>
          <w:szCs w:val="28"/>
        </w:rPr>
        <w:t>триггера из группы цифровых устройств (3).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7146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2.6 – Принципиальная схема для исследования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 – триггера</w:t>
      </w:r>
    </w:p>
    <w:p w:rsidR="009E575A" w:rsidRPr="00A95D8C" w:rsidRDefault="009E575A" w:rsidP="009E575A">
      <w:pPr>
        <w:spacing w:line="360" w:lineRule="auto"/>
        <w:ind w:firstLine="720"/>
        <w:jc w:val="both"/>
        <w:rPr>
          <w:sz w:val="28"/>
          <w:szCs w:val="28"/>
        </w:rPr>
      </w:pP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5A"/>
    <w:rsid w:val="006919DF"/>
    <w:rsid w:val="00830141"/>
    <w:rsid w:val="009111C2"/>
    <w:rsid w:val="009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8646D-E473-4143-BD51-7D50EF8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2020-09-20T17:33:00Z</dcterms:created>
  <dcterms:modified xsi:type="dcterms:W3CDTF">2020-09-20T17:33:00Z</dcterms:modified>
</cp:coreProperties>
</file>